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257" w:rsidRDefault="00914988">
      <w:pPr>
        <w:spacing w:before="75"/>
        <w:ind w:left="2547"/>
        <w:rPr>
          <w:b/>
          <w:sz w:val="28"/>
        </w:rPr>
      </w:pPr>
      <w:r>
        <w:rPr>
          <w:b/>
          <w:sz w:val="28"/>
        </w:rPr>
        <w:t>ДОПЪЛНИТЕЛНА ИНФОРМАЦИЯ</w:t>
      </w:r>
    </w:p>
    <w:p w:rsidR="007D7257" w:rsidRDefault="00914988">
      <w:pPr>
        <w:pStyle w:val="Heading2"/>
        <w:spacing w:before="3" w:line="240" w:lineRule="auto"/>
        <w:ind w:left="1013" w:right="115" w:firstLine="0"/>
      </w:pPr>
      <w:r>
        <w:t>за обществена поръчка с предмет: „Доставка на един брой фабрично нов лек автомобил за н</w:t>
      </w:r>
      <w:r w:rsidR="00D63430">
        <w:t>уждите на община Маджарово</w:t>
      </w:r>
      <w:r>
        <w:t>"</w:t>
      </w:r>
    </w:p>
    <w:p w:rsidR="007D7257" w:rsidRDefault="00914988">
      <w:pPr>
        <w:pStyle w:val="a3"/>
      </w:pPr>
      <w:r>
        <w:t xml:space="preserve">Правилата за възлагане на обществената поръчката чрез "Събиране на оферти с обява" е уредено в част Пета „Правила за възлагане на обществени поръчки на ниска стойност", Глава 26 „Събиране на оферти с обява, покана до определени лица" от ЗОП при </w:t>
      </w:r>
      <w:proofErr w:type="spellStart"/>
      <w:r>
        <w:t>субсидиарното</w:t>
      </w:r>
      <w:proofErr w:type="spellEnd"/>
      <w:r>
        <w:t xml:space="preserve"> прилагане на разпоредбите на части първа и втора от ЗОП, както и в Глава девета „Възлагане на обществени поръчки чрез събиране на оферти с обява или покана до определени лица" от ППЗОП и отделни негови разпоредби по отношение на правилата за подаване на оферти на хартиен носител и правилата за действия на комисията при разглеждане на хартиен носител.</w:t>
      </w:r>
    </w:p>
    <w:p w:rsidR="007D7257" w:rsidRDefault="00914988">
      <w:pPr>
        <w:pStyle w:val="Heading2"/>
        <w:numPr>
          <w:ilvl w:val="0"/>
          <w:numId w:val="1"/>
        </w:numPr>
        <w:tabs>
          <w:tab w:val="left" w:pos="1234"/>
        </w:tabs>
        <w:spacing w:line="250" w:lineRule="exact"/>
        <w:jc w:val="both"/>
      </w:pPr>
      <w:r>
        <w:rPr>
          <w:u w:val="thick"/>
        </w:rPr>
        <w:t>Събиране на</w:t>
      </w:r>
      <w:r>
        <w:rPr>
          <w:spacing w:val="-1"/>
          <w:u w:val="thick"/>
        </w:rPr>
        <w:t xml:space="preserve"> </w:t>
      </w:r>
      <w:r>
        <w:rPr>
          <w:u w:val="thick"/>
        </w:rPr>
        <w:t>оферти</w:t>
      </w:r>
    </w:p>
    <w:p w:rsidR="007D7257" w:rsidRDefault="00914988">
      <w:pPr>
        <w:pStyle w:val="a3"/>
        <w:ind w:right="113"/>
      </w:pPr>
      <w:r>
        <w:t>Съгласно разпоредбите на чл. 188, ал. 2 от ЗОП, когато в първоначално определения срок в обявата са получени по-малко от три оферти, Възложителят удължава срока с най-малко три дни. След изтичане и на този срок, възложителят разглежда и оценява получените оферти независимо от техния брой.</w:t>
      </w:r>
    </w:p>
    <w:p w:rsidR="007D7257" w:rsidRDefault="00914988">
      <w:pPr>
        <w:pStyle w:val="Heading2"/>
        <w:numPr>
          <w:ilvl w:val="0"/>
          <w:numId w:val="1"/>
        </w:numPr>
        <w:tabs>
          <w:tab w:val="left" w:pos="1234"/>
        </w:tabs>
        <w:spacing w:before="3"/>
        <w:jc w:val="both"/>
      </w:pPr>
      <w:r>
        <w:rPr>
          <w:u w:val="thick"/>
        </w:rPr>
        <w:t>Разяснения</w:t>
      </w:r>
    </w:p>
    <w:p w:rsidR="007D7257" w:rsidRDefault="00914988">
      <w:pPr>
        <w:pStyle w:val="a3"/>
        <w:ind w:right="115"/>
      </w:pPr>
      <w:r>
        <w:t>Съгласно разпоредбите на чл.189 от ЗОП 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w:t>
      </w:r>
      <w:r>
        <w:rPr>
          <w:spacing w:val="-6"/>
        </w:rPr>
        <w:t xml:space="preserve"> </w:t>
      </w:r>
      <w:r>
        <w:t>поръчка.</w:t>
      </w:r>
    </w:p>
    <w:p w:rsidR="007D7257" w:rsidRDefault="00914988">
      <w:pPr>
        <w:pStyle w:val="Heading2"/>
        <w:numPr>
          <w:ilvl w:val="0"/>
          <w:numId w:val="1"/>
        </w:numPr>
        <w:tabs>
          <w:tab w:val="left" w:pos="1234"/>
        </w:tabs>
        <w:jc w:val="both"/>
      </w:pPr>
      <w:r>
        <w:rPr>
          <w:u w:val="thick"/>
        </w:rPr>
        <w:t>Работа на</w:t>
      </w:r>
      <w:r>
        <w:rPr>
          <w:spacing w:val="-4"/>
          <w:u w:val="thick"/>
        </w:rPr>
        <w:t xml:space="preserve"> </w:t>
      </w:r>
      <w:r>
        <w:rPr>
          <w:u w:val="thick"/>
        </w:rPr>
        <w:t>комисията</w:t>
      </w:r>
    </w:p>
    <w:p w:rsidR="007D7257" w:rsidRDefault="00914988">
      <w:pPr>
        <w:pStyle w:val="a3"/>
        <w:ind w:right="116"/>
      </w:pPr>
      <w:r>
        <w:t>Възложителят със заповед определя комисия от нечетен брой лица за разглеждане и оценка на получените оферти или за провеждане на преговори.</w:t>
      </w:r>
    </w:p>
    <w:p w:rsidR="007D7257" w:rsidRDefault="00914988">
      <w:pPr>
        <w:pStyle w:val="a3"/>
      </w:pPr>
      <w:r>
        <w:t>За членовете на комисията по ал. 1 се прилагат изискванията по чл. 51, ал. 8 - 10 и 13 от ППЗОП. Когато член на комисията не може да изпълнява задълженията си по обективни причини или за него е възникнал конфликт на интереси, възложителят определя със заповед нов член. В случаите, когато е налице конфликт на интереси, действията на отстранения член не се вземат предвид и се извършват повторно от новия член.</w:t>
      </w:r>
    </w:p>
    <w:p w:rsidR="007D7257" w:rsidRDefault="00914988">
      <w:pPr>
        <w:pStyle w:val="a3"/>
        <w:ind w:right="115"/>
      </w:pPr>
      <w:r>
        <w:t>Комисията отваря офертите по реда на тяхното постъпване и обявява ценовите предложения. При извършване на тези действия могат да присъстват представители на участниците.</w:t>
      </w:r>
    </w:p>
    <w:p w:rsidR="007D7257" w:rsidRPr="00D63430" w:rsidRDefault="00914988">
      <w:pPr>
        <w:pStyle w:val="a3"/>
        <w:ind w:right="111"/>
      </w:pPr>
      <w:r w:rsidRPr="00D63430">
        <w:t>Техническото предложение на всеки от участниците се подписва най-малко от трима членове на комисията и се предлага по един от присъстващите представители на другите участници да го подпише, с което публичната част от заседанието приключва.</w:t>
      </w:r>
    </w:p>
    <w:p w:rsidR="007D7257" w:rsidRDefault="00914988">
      <w:pPr>
        <w:pStyle w:val="a3"/>
        <w:spacing w:line="276" w:lineRule="auto"/>
      </w:pPr>
      <w: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непълнотите или несъответствията в срок 3 работни дни.</w:t>
      </w:r>
    </w:p>
    <w:p w:rsidR="007D7257" w:rsidRDefault="00914988">
      <w:pPr>
        <w:pStyle w:val="Heading1"/>
        <w:numPr>
          <w:ilvl w:val="0"/>
          <w:numId w:val="1"/>
        </w:numPr>
        <w:tabs>
          <w:tab w:val="left" w:pos="1374"/>
        </w:tabs>
        <w:spacing w:before="201" w:line="240" w:lineRule="auto"/>
        <w:ind w:left="1373" w:hanging="360"/>
        <w:jc w:val="both"/>
        <w:rPr>
          <w:u w:val="none"/>
        </w:rPr>
      </w:pPr>
      <w:r>
        <w:rPr>
          <w:u w:val="thick"/>
        </w:rPr>
        <w:t>Определяне на изпълнител или прекратяване възлагането</w:t>
      </w:r>
      <w:r>
        <w:rPr>
          <w:spacing w:val="39"/>
          <w:u w:val="thick"/>
        </w:rPr>
        <w:t xml:space="preserve"> </w:t>
      </w:r>
      <w:r>
        <w:rPr>
          <w:u w:val="thick"/>
        </w:rPr>
        <w:t>на</w:t>
      </w:r>
    </w:p>
    <w:p w:rsidR="007D7257" w:rsidRDefault="00914988">
      <w:pPr>
        <w:spacing w:before="1" w:line="274" w:lineRule="exact"/>
        <w:ind w:left="1013"/>
        <w:jc w:val="both"/>
        <w:rPr>
          <w:b/>
          <w:sz w:val="24"/>
        </w:rPr>
      </w:pPr>
      <w:r>
        <w:rPr>
          <w:spacing w:val="-60"/>
          <w:sz w:val="24"/>
          <w:u w:val="thick"/>
        </w:rPr>
        <w:t xml:space="preserve"> </w:t>
      </w:r>
      <w:r>
        <w:rPr>
          <w:b/>
          <w:sz w:val="24"/>
          <w:u w:val="thick"/>
        </w:rPr>
        <w:t>обществена поръчка</w:t>
      </w:r>
    </w:p>
    <w:p w:rsidR="007D7257" w:rsidRDefault="00914988">
      <w:pPr>
        <w:pStyle w:val="a4"/>
        <w:numPr>
          <w:ilvl w:val="1"/>
          <w:numId w:val="1"/>
        </w:numPr>
        <w:tabs>
          <w:tab w:val="left" w:pos="1434"/>
        </w:tabs>
        <w:spacing w:line="274" w:lineRule="exact"/>
        <w:jc w:val="both"/>
        <w:rPr>
          <w:sz w:val="24"/>
        </w:rPr>
      </w:pPr>
      <w:r>
        <w:rPr>
          <w:sz w:val="24"/>
        </w:rPr>
        <w:t>Определяне на</w:t>
      </w:r>
      <w:r>
        <w:rPr>
          <w:spacing w:val="-3"/>
          <w:sz w:val="24"/>
        </w:rPr>
        <w:t xml:space="preserve"> </w:t>
      </w:r>
      <w:r>
        <w:rPr>
          <w:sz w:val="24"/>
        </w:rPr>
        <w:t>изпълнител</w:t>
      </w:r>
    </w:p>
    <w:p w:rsidR="007D7257" w:rsidRDefault="00914988">
      <w:pPr>
        <w:ind w:left="1013" w:right="117"/>
        <w:jc w:val="both"/>
        <w:rPr>
          <w:sz w:val="24"/>
        </w:rPr>
      </w:pPr>
      <w:r>
        <w:rPr>
          <w:sz w:val="24"/>
        </w:rPr>
        <w:t>Резултатите от разглеждането и оценката на офертите и за класирането на участниците се отразяват в протокол. Възложителят утвърждава протокола, след което в един и същ ден протоколът се изпраща на участниците и се публикува в профила на купувача.</w:t>
      </w:r>
    </w:p>
    <w:p w:rsidR="007D7257" w:rsidRDefault="00914988">
      <w:pPr>
        <w:pStyle w:val="a4"/>
        <w:numPr>
          <w:ilvl w:val="1"/>
          <w:numId w:val="1"/>
        </w:numPr>
        <w:tabs>
          <w:tab w:val="left" w:pos="1434"/>
        </w:tabs>
        <w:jc w:val="both"/>
        <w:rPr>
          <w:sz w:val="24"/>
        </w:rPr>
      </w:pPr>
      <w:r>
        <w:rPr>
          <w:sz w:val="24"/>
        </w:rPr>
        <w:t>Прекратяване възлагането на обществената</w:t>
      </w:r>
      <w:r>
        <w:rPr>
          <w:spacing w:val="-3"/>
          <w:sz w:val="24"/>
        </w:rPr>
        <w:t xml:space="preserve"> </w:t>
      </w:r>
      <w:r>
        <w:rPr>
          <w:sz w:val="24"/>
        </w:rPr>
        <w:t>поръчка</w:t>
      </w:r>
    </w:p>
    <w:p w:rsidR="007D7257" w:rsidRDefault="007D7257">
      <w:pPr>
        <w:jc w:val="both"/>
        <w:rPr>
          <w:sz w:val="24"/>
        </w:rPr>
        <w:sectPr w:rsidR="007D7257">
          <w:type w:val="continuous"/>
          <w:pgSz w:w="11910" w:h="16840"/>
          <w:pgMar w:top="1320" w:right="1300" w:bottom="280" w:left="1680" w:header="708" w:footer="708" w:gutter="0"/>
          <w:cols w:space="708"/>
        </w:sectPr>
      </w:pPr>
    </w:p>
    <w:p w:rsidR="007D7257" w:rsidRDefault="00914988">
      <w:pPr>
        <w:spacing w:before="69"/>
        <w:ind w:left="1013" w:right="113"/>
        <w:jc w:val="both"/>
        <w:rPr>
          <w:sz w:val="24"/>
        </w:rPr>
      </w:pPr>
      <w:r>
        <w:rPr>
          <w:sz w:val="24"/>
        </w:rPr>
        <w:lastRenderedPageBreak/>
        <w:t>Възложителят може да прекрати възлагането на поръчката до сключване на договора за възлагане на обществената поръчка, като публикува съобщение на профила на купувача, в което посочва и мотивите за прекратяването.</w:t>
      </w:r>
    </w:p>
    <w:p w:rsidR="007D7257" w:rsidRDefault="00914988">
      <w:pPr>
        <w:pStyle w:val="a4"/>
        <w:numPr>
          <w:ilvl w:val="0"/>
          <w:numId w:val="1"/>
        </w:numPr>
        <w:tabs>
          <w:tab w:val="left" w:pos="1270"/>
        </w:tabs>
        <w:spacing w:before="1"/>
        <w:ind w:left="1013" w:right="116" w:firstLine="0"/>
        <w:jc w:val="both"/>
        <w:rPr>
          <w:sz w:val="24"/>
        </w:rPr>
      </w:pPr>
      <w:r>
        <w:rPr>
          <w:b/>
          <w:sz w:val="24"/>
          <w:u w:val="thick"/>
        </w:rPr>
        <w:t>Критерий за възлагане</w:t>
      </w:r>
      <w:r>
        <w:rPr>
          <w:sz w:val="24"/>
          <w:u w:val="thick"/>
        </w:rPr>
        <w:t>:</w:t>
      </w:r>
      <w:r>
        <w:rPr>
          <w:sz w:val="24"/>
        </w:rPr>
        <w:t xml:space="preserve"> „най-ниска цена“. Ако по този ред не може да се определи коя оферта е най-изгодна, Комисията провежда публично жребий за определяне на изпълнител между класираните на първо място оферти.</w:t>
      </w:r>
    </w:p>
    <w:p w:rsidR="007D7257" w:rsidRDefault="00914988">
      <w:pPr>
        <w:spacing w:before="5" w:line="274" w:lineRule="exact"/>
        <w:ind w:left="1013"/>
        <w:jc w:val="both"/>
        <w:rPr>
          <w:b/>
          <w:sz w:val="24"/>
        </w:rPr>
      </w:pPr>
      <w:r>
        <w:rPr>
          <w:spacing w:val="-60"/>
          <w:sz w:val="24"/>
          <w:u w:val="thick"/>
        </w:rPr>
        <w:t xml:space="preserve"> </w:t>
      </w:r>
      <w:r>
        <w:rPr>
          <w:b/>
          <w:sz w:val="24"/>
          <w:u w:val="thick"/>
        </w:rPr>
        <w:t>6. Сключване и изменение на договор</w:t>
      </w:r>
    </w:p>
    <w:p w:rsidR="007D7257" w:rsidRDefault="00914988">
      <w:pPr>
        <w:ind w:left="1013" w:right="114"/>
        <w:jc w:val="both"/>
        <w:rPr>
          <w:sz w:val="24"/>
        </w:rPr>
      </w:pPr>
      <w:r>
        <w:rPr>
          <w:sz w:val="24"/>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посочените основания за отстраняване, както и съответствието с поставените критерии за подбор. Документите се представят и за подизпълнителите и третите лица, ако има такива.</w:t>
      </w:r>
    </w:p>
    <w:p w:rsidR="007D7257" w:rsidRDefault="00914988">
      <w:pPr>
        <w:ind w:left="1013" w:right="114"/>
        <w:jc w:val="both"/>
        <w:rPr>
          <w:sz w:val="24"/>
        </w:rPr>
      </w:pPr>
      <w:r>
        <w:rPr>
          <w:sz w:val="24"/>
        </w:rPr>
        <w:t>Съгласно чл. 194, ал.1 от ЗОП Възложителят сключва договор за обществената поръчка с определения изпълнител в 30-дневен срок от датата на определяне на изпълнителя. 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w:t>
      </w:r>
      <w:r>
        <w:rPr>
          <w:spacing w:val="-10"/>
          <w:sz w:val="24"/>
        </w:rPr>
        <w:t xml:space="preserve"> </w:t>
      </w:r>
      <w:r>
        <w:rPr>
          <w:sz w:val="24"/>
        </w:rPr>
        <w:t>причини.</w:t>
      </w:r>
    </w:p>
    <w:p w:rsidR="007D7257" w:rsidRDefault="00914988">
      <w:pPr>
        <w:ind w:left="1013" w:right="118"/>
        <w:jc w:val="both"/>
        <w:rPr>
          <w:sz w:val="24"/>
        </w:rPr>
      </w:pPr>
      <w:r>
        <w:rPr>
          <w:sz w:val="24"/>
        </w:rPr>
        <w:t>Възложителят може да изменя договор за обществена поръчка при условията на чл. 116 от ЗОП.</w:t>
      </w:r>
    </w:p>
    <w:p w:rsidR="007D7257" w:rsidRDefault="00914988">
      <w:pPr>
        <w:ind w:left="1013"/>
        <w:jc w:val="both"/>
        <w:rPr>
          <w:sz w:val="24"/>
        </w:rPr>
      </w:pPr>
      <w:r>
        <w:rPr>
          <w:sz w:val="24"/>
        </w:rPr>
        <w:t>За всички неуредени въпроси се прилагат разпоредбите на ЗОП и ППЗОП.</w:t>
      </w:r>
    </w:p>
    <w:sectPr w:rsidR="007D7257" w:rsidSect="007D7257">
      <w:pgSz w:w="11910" w:h="16840"/>
      <w:pgMar w:top="1320" w:right="1300" w:bottom="280" w:left="168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94600"/>
    <w:multiLevelType w:val="multilevel"/>
    <w:tmpl w:val="A55E84A0"/>
    <w:lvl w:ilvl="0">
      <w:start w:val="1"/>
      <w:numFmt w:val="decimal"/>
      <w:lvlText w:val="%1."/>
      <w:lvlJc w:val="left"/>
      <w:pPr>
        <w:ind w:left="1234" w:hanging="221"/>
        <w:jc w:val="left"/>
      </w:pPr>
      <w:rPr>
        <w:rFonts w:hint="default"/>
        <w:w w:val="100"/>
        <w:u w:val="thick" w:color="000000"/>
        <w:lang w:val="bg-BG" w:eastAsia="bg-BG" w:bidi="bg-BG"/>
      </w:rPr>
    </w:lvl>
    <w:lvl w:ilvl="1">
      <w:start w:val="1"/>
      <w:numFmt w:val="decimal"/>
      <w:lvlText w:val="%1.%2."/>
      <w:lvlJc w:val="left"/>
      <w:pPr>
        <w:ind w:left="1433" w:hanging="420"/>
        <w:jc w:val="left"/>
      </w:pPr>
      <w:rPr>
        <w:rFonts w:ascii="Times New Roman" w:eastAsia="Times New Roman" w:hAnsi="Times New Roman" w:cs="Times New Roman" w:hint="default"/>
        <w:spacing w:val="-2"/>
        <w:w w:val="100"/>
        <w:sz w:val="24"/>
        <w:szCs w:val="24"/>
        <w:lang w:val="bg-BG" w:eastAsia="bg-BG" w:bidi="bg-BG"/>
      </w:rPr>
    </w:lvl>
    <w:lvl w:ilvl="2">
      <w:numFmt w:val="bullet"/>
      <w:lvlText w:val="•"/>
      <w:lvlJc w:val="left"/>
      <w:pPr>
        <w:ind w:left="2271" w:hanging="420"/>
      </w:pPr>
      <w:rPr>
        <w:rFonts w:hint="default"/>
        <w:lang w:val="bg-BG" w:eastAsia="bg-BG" w:bidi="bg-BG"/>
      </w:rPr>
    </w:lvl>
    <w:lvl w:ilvl="3">
      <w:numFmt w:val="bullet"/>
      <w:lvlText w:val="•"/>
      <w:lvlJc w:val="left"/>
      <w:pPr>
        <w:ind w:left="3103" w:hanging="420"/>
      </w:pPr>
      <w:rPr>
        <w:rFonts w:hint="default"/>
        <w:lang w:val="bg-BG" w:eastAsia="bg-BG" w:bidi="bg-BG"/>
      </w:rPr>
    </w:lvl>
    <w:lvl w:ilvl="4">
      <w:numFmt w:val="bullet"/>
      <w:lvlText w:val="•"/>
      <w:lvlJc w:val="left"/>
      <w:pPr>
        <w:ind w:left="3935" w:hanging="420"/>
      </w:pPr>
      <w:rPr>
        <w:rFonts w:hint="default"/>
        <w:lang w:val="bg-BG" w:eastAsia="bg-BG" w:bidi="bg-BG"/>
      </w:rPr>
    </w:lvl>
    <w:lvl w:ilvl="5">
      <w:numFmt w:val="bullet"/>
      <w:lvlText w:val="•"/>
      <w:lvlJc w:val="left"/>
      <w:pPr>
        <w:ind w:left="4767" w:hanging="420"/>
      </w:pPr>
      <w:rPr>
        <w:rFonts w:hint="default"/>
        <w:lang w:val="bg-BG" w:eastAsia="bg-BG" w:bidi="bg-BG"/>
      </w:rPr>
    </w:lvl>
    <w:lvl w:ilvl="6">
      <w:numFmt w:val="bullet"/>
      <w:lvlText w:val="•"/>
      <w:lvlJc w:val="left"/>
      <w:pPr>
        <w:ind w:left="5599" w:hanging="420"/>
      </w:pPr>
      <w:rPr>
        <w:rFonts w:hint="default"/>
        <w:lang w:val="bg-BG" w:eastAsia="bg-BG" w:bidi="bg-BG"/>
      </w:rPr>
    </w:lvl>
    <w:lvl w:ilvl="7">
      <w:numFmt w:val="bullet"/>
      <w:lvlText w:val="•"/>
      <w:lvlJc w:val="left"/>
      <w:pPr>
        <w:ind w:left="6430" w:hanging="420"/>
      </w:pPr>
      <w:rPr>
        <w:rFonts w:hint="default"/>
        <w:lang w:val="bg-BG" w:eastAsia="bg-BG" w:bidi="bg-BG"/>
      </w:rPr>
    </w:lvl>
    <w:lvl w:ilvl="8">
      <w:numFmt w:val="bullet"/>
      <w:lvlText w:val="•"/>
      <w:lvlJc w:val="left"/>
      <w:pPr>
        <w:ind w:left="7262" w:hanging="420"/>
      </w:pPr>
      <w:rPr>
        <w:rFonts w:hint="default"/>
        <w:lang w:val="bg-BG" w:eastAsia="bg-BG" w:bidi="bg-BG"/>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compat>
    <w:ulTrailSpace/>
  </w:compat>
  <w:rsids>
    <w:rsidRoot w:val="007D7257"/>
    <w:rsid w:val="007D7257"/>
    <w:rsid w:val="00914988"/>
    <w:rsid w:val="00D63430"/>
    <w:rsid w:val="00E83F0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D7257"/>
    <w:rPr>
      <w:rFonts w:ascii="Times New Roman" w:eastAsia="Times New Roman" w:hAnsi="Times New Roman" w:cs="Times New Roman"/>
      <w:lang w:val="bg-BG" w:eastAsia="bg-BG" w:bidi="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D7257"/>
    <w:tblPr>
      <w:tblInd w:w="0" w:type="dxa"/>
      <w:tblCellMar>
        <w:top w:w="0" w:type="dxa"/>
        <w:left w:w="0" w:type="dxa"/>
        <w:bottom w:w="0" w:type="dxa"/>
        <w:right w:w="0" w:type="dxa"/>
      </w:tblCellMar>
    </w:tblPr>
  </w:style>
  <w:style w:type="paragraph" w:styleId="a3">
    <w:name w:val="Body Text"/>
    <w:basedOn w:val="a"/>
    <w:uiPriority w:val="1"/>
    <w:qFormat/>
    <w:rsid w:val="007D7257"/>
    <w:pPr>
      <w:ind w:left="1013" w:right="114"/>
      <w:jc w:val="both"/>
    </w:pPr>
  </w:style>
  <w:style w:type="paragraph" w:customStyle="1" w:styleId="Heading1">
    <w:name w:val="Heading 1"/>
    <w:basedOn w:val="a"/>
    <w:uiPriority w:val="1"/>
    <w:qFormat/>
    <w:rsid w:val="007D7257"/>
    <w:pPr>
      <w:spacing w:before="1" w:line="274" w:lineRule="exact"/>
      <w:ind w:left="1013"/>
      <w:jc w:val="both"/>
      <w:outlineLvl w:val="1"/>
    </w:pPr>
    <w:rPr>
      <w:b/>
      <w:bCs/>
      <w:sz w:val="24"/>
      <w:szCs w:val="24"/>
      <w:u w:val="single" w:color="000000"/>
    </w:rPr>
  </w:style>
  <w:style w:type="paragraph" w:customStyle="1" w:styleId="Heading2">
    <w:name w:val="Heading 2"/>
    <w:basedOn w:val="a"/>
    <w:uiPriority w:val="1"/>
    <w:qFormat/>
    <w:rsid w:val="007D7257"/>
    <w:pPr>
      <w:spacing w:line="251" w:lineRule="exact"/>
      <w:ind w:left="1234" w:hanging="221"/>
      <w:jc w:val="both"/>
      <w:outlineLvl w:val="2"/>
    </w:pPr>
    <w:rPr>
      <w:b/>
      <w:bCs/>
    </w:rPr>
  </w:style>
  <w:style w:type="paragraph" w:styleId="a4">
    <w:name w:val="List Paragraph"/>
    <w:basedOn w:val="a"/>
    <w:uiPriority w:val="1"/>
    <w:qFormat/>
    <w:rsid w:val="007D7257"/>
    <w:pPr>
      <w:ind w:left="1234" w:hanging="221"/>
      <w:jc w:val="both"/>
    </w:pPr>
  </w:style>
  <w:style w:type="paragraph" w:customStyle="1" w:styleId="TableParagraph">
    <w:name w:val="Table Paragraph"/>
    <w:basedOn w:val="a"/>
    <w:uiPriority w:val="1"/>
    <w:qFormat/>
    <w:rsid w:val="007D725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ED2D4-8716-4430-A903-CA09EF55C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658</Words>
  <Characters>3756</Characters>
  <Application>Microsoft Office Word</Application>
  <DocSecurity>0</DocSecurity>
  <Lines>31</Lines>
  <Paragraphs>8</Paragraphs>
  <ScaleCrop>false</ScaleCrop>
  <Company/>
  <LinksUpToDate>false</LinksUpToDate>
  <CharactersWithSpaces>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TIC</cp:lastModifiedBy>
  <cp:revision>3</cp:revision>
  <dcterms:created xsi:type="dcterms:W3CDTF">2020-03-06T13:47:00Z</dcterms:created>
  <dcterms:modified xsi:type="dcterms:W3CDTF">2020-03-10T11:52:00Z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2020-01-17T00:00:00Z</vt:filetime>
  </property>
  <property fmtid="{D5CDD505-2E9C-101B-9397-08002B2CF9AE}" pid="3" name="Creator">
    <vt:lpwstr>Microsoft® Word 2013</vt:lpwstr>
  </property>
  <property fmtid="{D5CDD505-2E9C-101B-9397-08002B2CF9AE}" pid="4" name="LastSaved">
    <vt:filetime>2020-03-06T00:00:00Z</vt:filetime>
  </property>
</Properties>
</file>